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3884"/>
      </w:tblGrid>
      <w:tr w:rsidR="00361427" w:rsidRPr="00361427" w:rsidTr="00361427">
        <w:trPr>
          <w:trHeight w:val="69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427" w:rsidRPr="00361427" w:rsidRDefault="00361427" w:rsidP="00361427">
            <w:pPr>
              <w:wordWrap/>
              <w:spacing w:after="0" w:line="36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1427"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kern w:val="0"/>
                <w:sz w:val="16"/>
                <w:szCs w:val="16"/>
              </w:rPr>
              <w:t>2019 수학교육관련 연합국제학술대회, pp. 1 – 4</w:t>
            </w:r>
          </w:p>
          <w:p w:rsidR="00361427" w:rsidRPr="00361427" w:rsidRDefault="00361427" w:rsidP="00361427">
            <w:pPr>
              <w:wordWrap/>
              <w:spacing w:after="0" w:line="36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1427">
              <w:rPr>
                <w:rFonts w:ascii="나눔명조 ExtraBold" w:eastAsia="나눔명조 ExtraBold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13-15. Dec. 2019.</w:t>
            </w:r>
          </w:p>
          <w:p w:rsidR="00361427" w:rsidRPr="00361427" w:rsidRDefault="00361427" w:rsidP="00361427">
            <w:pPr>
              <w:wordWrap/>
              <w:spacing w:after="0" w:line="36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1427">
              <w:rPr>
                <w:rFonts w:ascii="나눔명조 ExtraBold" w:eastAsia="나눔명조 ExtraBold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Ajou University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427" w:rsidRPr="00361427" w:rsidRDefault="00361427" w:rsidP="00361427">
            <w:pPr>
              <w:wordWrap/>
              <w:spacing w:after="0" w:line="36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1427">
              <w:rPr>
                <w:rFonts w:ascii="나눔명조 ExtraBold" w:eastAsia="나눔명조 ExtraBold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Proceedings of 2019 Conference of Joint Societies for Mathematics Education</w:t>
            </w:r>
          </w:p>
          <w:p w:rsidR="00361427" w:rsidRPr="00361427" w:rsidRDefault="00361427" w:rsidP="00361427">
            <w:pPr>
              <w:wordWrap/>
              <w:spacing w:after="0" w:line="36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1427">
              <w:rPr>
                <w:rFonts w:ascii="나눔명조 ExtraBold" w:eastAsia="나눔명조 ExtraBold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: KSESM, KSME</w:t>
            </w:r>
          </w:p>
        </w:tc>
      </w:tr>
    </w:tbl>
    <w:p w:rsidR="00BE2B37" w:rsidRDefault="00BE2B37"/>
    <w:p w:rsidR="00361427" w:rsidRPr="00361427" w:rsidRDefault="00E97036" w:rsidP="00361427">
      <w:pPr>
        <w:wordWrap/>
        <w:spacing w:after="0" w:line="432" w:lineRule="auto"/>
        <w:jc w:val="center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30"/>
          <w:szCs w:val="30"/>
        </w:rPr>
        <w:t>Title</w:t>
      </w:r>
      <w:bookmarkStart w:id="0" w:name="_GoBack"/>
      <w:bookmarkEnd w:id="0"/>
    </w:p>
    <w:p w:rsidR="00361427" w:rsidRPr="00361427" w:rsidRDefault="00361427" w:rsidP="00361427">
      <w:pPr>
        <w:wordWrap/>
        <w:spacing w:after="0" w:line="432" w:lineRule="auto"/>
        <w:jc w:val="right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3940"/>
      </w:tblGrid>
      <w:tr w:rsidR="00361427" w:rsidRPr="00361427" w:rsidTr="00361427">
        <w:trPr>
          <w:trHeight w:val="80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427" w:rsidRPr="00361427" w:rsidRDefault="00361427" w:rsidP="00361427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른바탕3 B" w:eastAsia="바른바탕3 B" w:hAnsi="바른바탕3 B" w:cs="굴림" w:hint="eastAsia"/>
                <w:color w:val="000000"/>
                <w:kern w:val="0"/>
                <w:sz w:val="26"/>
                <w:szCs w:val="26"/>
              </w:rPr>
              <w:t>N</w:t>
            </w:r>
            <w:r>
              <w:rPr>
                <w:rFonts w:ascii="바른바탕3 B" w:eastAsia="바른바탕3 B" w:hAnsi="바른바탕3 B" w:cs="굴림"/>
                <w:color w:val="000000"/>
                <w:kern w:val="0"/>
                <w:sz w:val="26"/>
                <w:szCs w:val="26"/>
              </w:rPr>
              <w:t>AME</w:t>
            </w:r>
          </w:p>
          <w:p w:rsidR="00361427" w:rsidRPr="00361427" w:rsidRDefault="00361427" w:rsidP="00361427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른바탕3 B" w:eastAsia="바른바탕3 B" w:hAnsi="바른바탕3 B" w:cs="굴림" w:hint="eastAsia"/>
                <w:color w:val="000000"/>
                <w:kern w:val="0"/>
                <w:sz w:val="18"/>
                <w:szCs w:val="18"/>
              </w:rPr>
              <w:t>Organizaion</w:t>
            </w:r>
          </w:p>
          <w:p w:rsidR="00361427" w:rsidRPr="00361427" w:rsidRDefault="00361427" w:rsidP="00361427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른바탕3 B" w:eastAsia="바른바탕3 B" w:hAnsi="바른바탕3 B" w:cs="굴림" w:hint="eastAsia"/>
                <w:color w:val="000000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427" w:rsidRPr="00361427" w:rsidRDefault="00361427" w:rsidP="00361427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른바탕3 B" w:eastAsia="바른바탕3 B" w:hAnsi="바른바탕3 B" w:cs="굴림" w:hint="eastAsia"/>
                <w:color w:val="000000"/>
                <w:kern w:val="0"/>
                <w:sz w:val="26"/>
                <w:szCs w:val="26"/>
              </w:rPr>
              <w:t>Hong, Gil Dong</w:t>
            </w:r>
          </w:p>
          <w:p w:rsidR="00361427" w:rsidRPr="00361427" w:rsidRDefault="00361427" w:rsidP="00361427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른바탕3 B" w:eastAsia="바른바탕3 B" w:hAnsi="바른바탕3 B" w:cs="굴림" w:hint="eastAsia"/>
                <w:color w:val="000000"/>
                <w:kern w:val="0"/>
                <w:sz w:val="18"/>
                <w:szCs w:val="18"/>
              </w:rPr>
              <w:t>Daehan University</w:t>
            </w:r>
          </w:p>
          <w:p w:rsidR="00361427" w:rsidRPr="00361427" w:rsidRDefault="00361427" w:rsidP="00361427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1427">
              <w:rPr>
                <w:rFonts w:ascii="Times New Roman" w:eastAsia="바른바탕3 B" w:hAnsi="Times New Roman" w:cs="Times New Roman"/>
                <w:color w:val="000000"/>
                <w:kern w:val="0"/>
                <w:sz w:val="18"/>
                <w:szCs w:val="18"/>
              </w:rPr>
              <w:t>gdhong@ksesm.or.kr</w:t>
            </w:r>
          </w:p>
        </w:tc>
      </w:tr>
    </w:tbl>
    <w:p w:rsidR="00361427" w:rsidRPr="00361427" w:rsidRDefault="00361427" w:rsidP="00361427">
      <w:pPr>
        <w:spacing w:after="0" w:line="432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361427" w:rsidRDefault="00361427" w:rsidP="00361427">
      <w:pPr>
        <w:spacing w:after="0" w:line="432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This is your main section.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</w:p>
    <w:p w:rsidR="00361427" w:rsidRDefault="00361427" w:rsidP="00361427">
      <w:pPr>
        <w:spacing w:after="0" w:line="432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</w:p>
    <w:p w:rsidR="00361427" w:rsidRDefault="00361427" w:rsidP="00361427">
      <w:pPr>
        <w:pStyle w:val="a3"/>
        <w:wordWrap/>
        <w:spacing w:line="432" w:lineRule="auto"/>
        <w:jc w:val="center"/>
      </w:pPr>
      <w:r>
        <w:rPr>
          <w:rFonts w:ascii="바른바탕3 B" w:eastAsia="바른바탕3 B" w:hAnsi="바른바탕3 B" w:hint="eastAsia"/>
          <w:sz w:val="24"/>
          <w:szCs w:val="24"/>
        </w:rPr>
        <w:t>References</w:t>
      </w:r>
    </w:p>
    <w:p w:rsidR="00361427" w:rsidRDefault="00361427" w:rsidP="00361427">
      <w:pPr>
        <w:pStyle w:val="a3"/>
        <w:spacing w:line="432" w:lineRule="auto"/>
        <w:ind w:left="200" w:hanging="200"/>
        <w:rPr>
          <w:sz w:val="19"/>
          <w:szCs w:val="19"/>
        </w:rPr>
      </w:pPr>
    </w:p>
    <w:p w:rsidR="00361427" w:rsidRDefault="00361427" w:rsidP="00361427">
      <w:pPr>
        <w:pStyle w:val="a3"/>
        <w:spacing w:line="432" w:lineRule="auto"/>
        <w:ind w:left="200" w:hanging="200"/>
      </w:pPr>
      <w:r>
        <w:rPr>
          <w:rFonts w:ascii="바른바탕1 L" w:eastAsia="바른바탕1 L" w:hAnsi="바른바탕1 L" w:hint="eastAsia"/>
          <w:sz w:val="19"/>
          <w:szCs w:val="19"/>
        </w:rPr>
        <w:t>구나영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, </w:t>
      </w:r>
      <w:r>
        <w:rPr>
          <w:rFonts w:ascii="바른바탕1 L" w:eastAsia="바른바탕1 L" w:hAnsi="바른바탕1 L" w:hint="eastAsia"/>
          <w:sz w:val="19"/>
          <w:szCs w:val="19"/>
        </w:rPr>
        <w:t>탁병주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, </w:t>
      </w:r>
      <w:r>
        <w:rPr>
          <w:rFonts w:ascii="바른바탕1 L" w:eastAsia="바른바탕1 L" w:hAnsi="바른바탕1 L" w:hint="eastAsia"/>
          <w:sz w:val="19"/>
          <w:szCs w:val="19"/>
        </w:rPr>
        <w:t>강현영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, </w:t>
      </w:r>
      <w:r>
        <w:rPr>
          <w:rFonts w:ascii="바른바탕1 L" w:eastAsia="바른바탕1 L" w:hAnsi="바른바탕1 L" w:hint="eastAsia"/>
          <w:sz w:val="19"/>
          <w:szCs w:val="19"/>
        </w:rPr>
        <w:t>이경화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(2015). </w:t>
      </w:r>
      <w:r>
        <w:rPr>
          <w:rFonts w:ascii="바른바탕1 L" w:eastAsia="바른바탕1 L" w:hAnsi="바른바탕1 L" w:hint="eastAsia"/>
          <w:sz w:val="19"/>
          <w:szCs w:val="19"/>
        </w:rPr>
        <w:t>표본 지도에 대한 고찰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: </w:t>
      </w:r>
      <w:r>
        <w:rPr>
          <w:rFonts w:ascii="바른바탕1 L" w:eastAsia="바른바탕1 L" w:hAnsi="바른바탕1 L" w:hint="eastAsia"/>
          <w:sz w:val="19"/>
          <w:szCs w:val="19"/>
        </w:rPr>
        <w:t>국외 교육과정 분석을 중심으로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. </w:t>
      </w:r>
      <w:r>
        <w:rPr>
          <w:rFonts w:ascii="바른바탕1 L" w:eastAsia="바른바탕1 L" w:hAnsi="바른바탕1 L" w:hint="eastAsia"/>
          <w:b/>
          <w:bCs/>
          <w:sz w:val="19"/>
          <w:szCs w:val="19"/>
        </w:rPr>
        <w:t>학교수학</w:t>
      </w:r>
      <w:r>
        <w:rPr>
          <w:rFonts w:ascii="Times New Roman" w:eastAsia="바른바탕1 L" w:hAnsi="Times New Roman" w:cs="Times New Roman"/>
          <w:b/>
          <w:bCs/>
          <w:sz w:val="19"/>
          <w:szCs w:val="19"/>
        </w:rPr>
        <w:t>, 17</w:t>
      </w:r>
      <w:r>
        <w:rPr>
          <w:rFonts w:ascii="Times New Roman" w:eastAsia="바른바탕1 L" w:hAnsi="Times New Roman" w:cs="Times New Roman"/>
          <w:sz w:val="19"/>
          <w:szCs w:val="19"/>
        </w:rPr>
        <w:t>(3), 515-530.</w:t>
      </w:r>
    </w:p>
    <w:p w:rsidR="00361427" w:rsidRDefault="00361427" w:rsidP="00361427">
      <w:pPr>
        <w:pStyle w:val="a3"/>
        <w:spacing w:line="432" w:lineRule="auto"/>
        <w:ind w:left="200" w:hanging="200"/>
      </w:pPr>
      <w:r>
        <w:rPr>
          <w:rFonts w:ascii="바른바탕1 L" w:eastAsia="바른바탕1 L" w:hAnsi="바른바탕1 L" w:hint="eastAsia"/>
          <w:sz w:val="19"/>
          <w:szCs w:val="19"/>
        </w:rPr>
        <w:t>이영하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(2014). </w:t>
      </w:r>
      <w:r>
        <w:rPr>
          <w:rFonts w:ascii="바른바탕1 L" w:eastAsia="바른바탕1 L" w:hAnsi="바른바탕1 L" w:hint="eastAsia"/>
          <w:b/>
          <w:bCs/>
          <w:sz w:val="19"/>
          <w:szCs w:val="19"/>
        </w:rPr>
        <w:t>인문학으로 풀어 쓴 통계교육 원론</w:t>
      </w:r>
      <w:r>
        <w:rPr>
          <w:rFonts w:ascii="Times New Roman" w:eastAsia="바른바탕1 L" w:hAnsi="Times New Roman" w:cs="Times New Roman"/>
          <w:b/>
          <w:bCs/>
          <w:sz w:val="19"/>
          <w:szCs w:val="19"/>
        </w:rPr>
        <w:t>.</w:t>
      </w:r>
      <w:r>
        <w:rPr>
          <w:rFonts w:eastAsia="바른바탕1 L"/>
          <w:sz w:val="19"/>
          <w:szCs w:val="19"/>
        </w:rPr>
        <w:t xml:space="preserve"> </w:t>
      </w:r>
      <w:r>
        <w:rPr>
          <w:rFonts w:ascii="바른바탕1 L" w:eastAsia="바른바탕1 L" w:hAnsi="바른바탕1 L" w:hint="eastAsia"/>
          <w:sz w:val="19"/>
          <w:szCs w:val="19"/>
        </w:rPr>
        <w:t>서울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: </w:t>
      </w:r>
      <w:r>
        <w:rPr>
          <w:rFonts w:ascii="바른바탕1 L" w:eastAsia="바른바탕1 L" w:hAnsi="바른바탕1 L" w:hint="eastAsia"/>
          <w:sz w:val="19"/>
          <w:szCs w:val="19"/>
        </w:rPr>
        <w:t>이화여자대학교출판부</w:t>
      </w:r>
      <w:r>
        <w:rPr>
          <w:rFonts w:ascii="Times New Roman" w:eastAsia="바른바탕1 L" w:hAnsi="Times New Roman" w:cs="Times New Roman"/>
          <w:sz w:val="19"/>
          <w:szCs w:val="19"/>
        </w:rPr>
        <w:t>.</w:t>
      </w:r>
    </w:p>
    <w:p w:rsidR="00361427" w:rsidRDefault="00361427" w:rsidP="00361427">
      <w:pPr>
        <w:pStyle w:val="a3"/>
        <w:spacing w:line="432" w:lineRule="auto"/>
        <w:ind w:left="200" w:hanging="200"/>
      </w:pPr>
      <w:r>
        <w:rPr>
          <w:rFonts w:ascii="바른바탕1 L" w:eastAsia="바른바탕1 L" w:hAnsi="바른바탕1 L" w:hint="eastAsia"/>
          <w:sz w:val="19"/>
          <w:szCs w:val="19"/>
        </w:rPr>
        <w:t>이정진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(2011). </w:t>
      </w:r>
      <w:r>
        <w:rPr>
          <w:rFonts w:ascii="바른바탕1 L" w:eastAsia="바른바탕1 L" w:hAnsi="바른바탕1 L" w:hint="eastAsia"/>
          <w:sz w:val="19"/>
          <w:szCs w:val="19"/>
        </w:rPr>
        <w:t>통계 개념 체크하기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. </w:t>
      </w:r>
      <w:r>
        <w:rPr>
          <w:rFonts w:ascii="바른바탕1 L" w:eastAsia="바른바탕1 L" w:hAnsi="바른바탕1 L" w:hint="eastAsia"/>
          <w:sz w:val="19"/>
          <w:szCs w:val="19"/>
        </w:rPr>
        <w:t>이동명</w:t>
      </w:r>
      <w:r>
        <w:rPr>
          <w:rFonts w:ascii="Times New Roman" w:eastAsia="바른바탕1 L" w:hAnsi="Times New Roman" w:cs="Times New Roman"/>
          <w:sz w:val="19"/>
          <w:szCs w:val="19"/>
        </w:rPr>
        <w:t>(</w:t>
      </w:r>
      <w:r>
        <w:rPr>
          <w:rFonts w:ascii="바른바탕1 L" w:eastAsia="바른바탕1 L" w:hAnsi="바른바탕1 L" w:hint="eastAsia"/>
          <w:sz w:val="19"/>
          <w:szCs w:val="19"/>
        </w:rPr>
        <w:t>편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.). </w:t>
      </w:r>
      <w:r>
        <w:rPr>
          <w:rFonts w:ascii="바른바탕1 L" w:eastAsia="바른바탕1 L" w:hAnsi="바른바탕1 L" w:hint="eastAsia"/>
          <w:b/>
          <w:bCs/>
          <w:sz w:val="19"/>
          <w:szCs w:val="19"/>
        </w:rPr>
        <w:t>손 안의 통계</w:t>
      </w:r>
      <w:r>
        <w:rPr>
          <w:rFonts w:eastAsia="바른바탕1 L"/>
          <w:sz w:val="19"/>
          <w:szCs w:val="19"/>
        </w:rPr>
        <w:t xml:space="preserve"> 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(pp. 6-40). </w:t>
      </w:r>
      <w:r>
        <w:rPr>
          <w:rFonts w:ascii="바른바탕1 L" w:eastAsia="바른바탕1 L" w:hAnsi="바른바탕1 L" w:hint="eastAsia"/>
          <w:sz w:val="19"/>
          <w:szCs w:val="19"/>
        </w:rPr>
        <w:t>성남</w:t>
      </w:r>
      <w:r>
        <w:rPr>
          <w:rFonts w:ascii="Times New Roman" w:eastAsia="바른바탕1 L" w:hAnsi="Times New Roman" w:cs="Times New Roman"/>
          <w:sz w:val="19"/>
          <w:szCs w:val="19"/>
        </w:rPr>
        <w:t xml:space="preserve">: </w:t>
      </w:r>
      <w:r>
        <w:rPr>
          <w:rFonts w:ascii="바른바탕1 L" w:eastAsia="바른바탕1 L" w:hAnsi="바른바탕1 L" w:hint="eastAsia"/>
          <w:sz w:val="19"/>
          <w:szCs w:val="19"/>
        </w:rPr>
        <w:t>한국통계진흥원</w:t>
      </w:r>
      <w:r>
        <w:rPr>
          <w:rFonts w:ascii="Times New Roman" w:eastAsia="바른바탕1 L" w:hAnsi="Times New Roman" w:cs="Times New Roman"/>
          <w:sz w:val="19"/>
          <w:szCs w:val="19"/>
        </w:rPr>
        <w:t>.</w:t>
      </w:r>
    </w:p>
    <w:p w:rsidR="00361427" w:rsidRDefault="00361427" w:rsidP="00361427">
      <w:pPr>
        <w:pStyle w:val="a3"/>
        <w:spacing w:line="432" w:lineRule="auto"/>
        <w:ind w:left="200" w:hanging="200"/>
      </w:pPr>
      <w:r>
        <w:rPr>
          <w:rFonts w:ascii="Times New Roman" w:eastAsia="바른바탕1 L" w:hAnsi="Times New Roman" w:cs="Times New Roman"/>
          <w:sz w:val="19"/>
          <w:szCs w:val="19"/>
        </w:rPr>
        <w:lastRenderedPageBreak/>
        <w:t xml:space="preserve">Ainley, J., Gould, R., &amp; Pratt, D. (2015). Learning to reason from samples: commentary from the perspectives of task design and the emergence of “big data”. </w:t>
      </w:r>
      <w:r>
        <w:rPr>
          <w:rFonts w:ascii="Times New Roman" w:eastAsia="바른바탕1 L" w:hAnsi="Times New Roman" w:cs="Times New Roman"/>
          <w:i/>
          <w:iCs/>
          <w:sz w:val="19"/>
          <w:szCs w:val="19"/>
        </w:rPr>
        <w:t>Educational Studies in Mathematics, 88</w:t>
      </w:r>
      <w:r>
        <w:rPr>
          <w:rFonts w:ascii="Times New Roman" w:eastAsia="바른바탕1 L" w:hAnsi="Times New Roman" w:cs="Times New Roman"/>
          <w:sz w:val="19"/>
          <w:szCs w:val="19"/>
        </w:rPr>
        <w:t>(3), 405-412.</w:t>
      </w:r>
    </w:p>
    <w:p w:rsidR="00361427" w:rsidRDefault="00361427" w:rsidP="00361427">
      <w:pPr>
        <w:pStyle w:val="a3"/>
        <w:spacing w:line="432" w:lineRule="auto"/>
        <w:ind w:left="200" w:hanging="200"/>
      </w:pPr>
      <w:r>
        <w:rPr>
          <w:rFonts w:ascii="Times New Roman" w:eastAsia="바른바탕1 L" w:hAnsi="Times New Roman" w:cs="Times New Roman"/>
        </w:rPr>
        <w:t xml:space="preserve">Garfield, J., &amp; Ben-Zvi, D. (2008). </w:t>
      </w:r>
      <w:r>
        <w:rPr>
          <w:rFonts w:ascii="Times New Roman" w:eastAsia="바른바탕1 L" w:hAnsi="Times New Roman" w:cs="Times New Roman"/>
          <w:i/>
          <w:iCs/>
        </w:rPr>
        <w:t>Developing students’ statistical reasoning: Connecting research and teaching practice</w:t>
      </w:r>
      <w:r>
        <w:rPr>
          <w:rFonts w:ascii="Times New Roman" w:eastAsia="바른바탕1 L" w:hAnsi="Times New Roman" w:cs="Times New Roman"/>
        </w:rPr>
        <w:t xml:space="preserve">. New York: Springer Science &amp; Business Media. </w:t>
      </w:r>
    </w:p>
    <w:p w:rsidR="00361427" w:rsidRDefault="00361427" w:rsidP="00361427">
      <w:pPr>
        <w:pStyle w:val="a3"/>
        <w:spacing w:line="432" w:lineRule="auto"/>
        <w:ind w:left="200" w:hanging="200"/>
      </w:pPr>
      <w:r>
        <w:rPr>
          <w:rFonts w:ascii="Times New Roman" w:eastAsia="바른바탕1 L" w:hAnsi="Times New Roman" w:cs="Times New Roman"/>
          <w:sz w:val="19"/>
          <w:szCs w:val="19"/>
        </w:rPr>
        <w:t xml:space="preserve">Rubin, A., Bruce, B., &amp; Tenney, Y. (1990). Learning about sampling: Trouble at the core of statistics. In D. Vere-Jones(Eds.). </w:t>
      </w:r>
      <w:r>
        <w:rPr>
          <w:rFonts w:ascii="Times New Roman" w:eastAsia="바른바탕1 L" w:hAnsi="Times New Roman" w:cs="Times New Roman"/>
          <w:i/>
          <w:iCs/>
          <w:sz w:val="19"/>
          <w:szCs w:val="19"/>
        </w:rPr>
        <w:t>Proceedings of the third international conference on teaching statistics.</w:t>
      </w:r>
      <w:r>
        <w:rPr>
          <w:rFonts w:eastAsia="바른바탕1 L"/>
          <w:sz w:val="19"/>
          <w:szCs w:val="19"/>
        </w:rPr>
        <w:t xml:space="preserve"> </w:t>
      </w:r>
      <w:r>
        <w:rPr>
          <w:rFonts w:ascii="Times New Roman" w:eastAsia="바른바탕1 L" w:hAnsi="Times New Roman" w:cs="Times New Roman"/>
          <w:sz w:val="19"/>
          <w:szCs w:val="19"/>
        </w:rPr>
        <w:t>(Vol. 1, pp. 314-319). Voorburg: International Statistical Institute.</w:t>
      </w:r>
    </w:p>
    <w:p w:rsidR="00361427" w:rsidRPr="00361427" w:rsidRDefault="00361427" w:rsidP="00361427">
      <w:pPr>
        <w:spacing w:after="0" w:line="432" w:lineRule="auto"/>
        <w:ind w:firstLine="200"/>
        <w:textAlignment w:val="baseline"/>
        <w:rPr>
          <w:rFonts w:hint="eastAsia"/>
        </w:rPr>
      </w:pPr>
    </w:p>
    <w:sectPr w:rsidR="00361427" w:rsidRPr="00361427" w:rsidSect="00361427">
      <w:pgSz w:w="11906" w:h="16838" w:code="9"/>
      <w:pgMar w:top="2325" w:right="1956" w:bottom="2325" w:left="1956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른바탕3 B">
    <w:panose1 w:val="02000800000000000000"/>
    <w:charset w:val="81"/>
    <w:family w:val="auto"/>
    <w:pitch w:val="variable"/>
    <w:sig w:usb0="800002A7" w:usb1="29D7FCFB" w:usb2="00000010" w:usb3="00000000" w:csb0="00080001" w:csb1="00000000"/>
  </w:font>
  <w:font w:name="바른바탕1 L">
    <w:panose1 w:val="02000300000000000000"/>
    <w:charset w:val="81"/>
    <w:family w:val="auto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27"/>
    <w:rsid w:val="00361427"/>
    <w:rsid w:val="00743DCF"/>
    <w:rsid w:val="00BE2B37"/>
    <w:rsid w:val="00E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1AF5"/>
  <w15:chartTrackingRefBased/>
  <w15:docId w15:val="{63D11BD6-3597-4748-AAA5-46EFACA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142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2019-09-30T01:31:00Z</dcterms:created>
  <dcterms:modified xsi:type="dcterms:W3CDTF">2019-09-30T01:37:00Z</dcterms:modified>
</cp:coreProperties>
</file>